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595191"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1A910DA1" w14:textId="30EADE64" w:rsidR="00BF3E68" w:rsidRPr="003746CB" w:rsidRDefault="00762D26" w:rsidP="00BF3E68">
      <w:pPr>
        <w:pStyle w:val="Header"/>
        <w:jc w:val="center"/>
        <w:rPr>
          <w:rFonts w:ascii="Arial" w:hAnsi="Arial" w:cs="Arial"/>
          <w:b/>
          <w:bCs/>
        </w:rPr>
      </w:pPr>
      <w:r w:rsidRPr="003746CB">
        <w:rPr>
          <w:rFonts w:ascii="Arial" w:hAnsi="Arial" w:cs="Arial"/>
          <w:b/>
          <w:bCs/>
        </w:rPr>
        <w:t>G</w:t>
      </w:r>
      <w:r w:rsidR="00BF3E68" w:rsidRPr="003746CB">
        <w:rPr>
          <w:rFonts w:ascii="Arial" w:hAnsi="Arial" w:cs="Arial"/>
          <w:b/>
          <w:bCs/>
        </w:rPr>
        <w:t xml:space="preserve">ifts and </w:t>
      </w:r>
      <w:r w:rsidRPr="003746CB">
        <w:rPr>
          <w:rFonts w:ascii="Arial" w:hAnsi="Arial" w:cs="Arial"/>
          <w:b/>
          <w:bCs/>
        </w:rPr>
        <w:t>H</w:t>
      </w:r>
      <w:r w:rsidR="00BF3E68" w:rsidRPr="003746CB">
        <w:rPr>
          <w:rFonts w:ascii="Arial" w:hAnsi="Arial" w:cs="Arial"/>
          <w:b/>
          <w:bCs/>
        </w:rPr>
        <w:t xml:space="preserve">ospitality </w:t>
      </w:r>
      <w:r w:rsidRPr="003746CB">
        <w:rPr>
          <w:rFonts w:ascii="Arial" w:hAnsi="Arial" w:cs="Arial"/>
          <w:b/>
          <w:bCs/>
        </w:rPr>
        <w:t>P</w:t>
      </w:r>
      <w:r w:rsidR="00BF3E68" w:rsidRPr="003746CB">
        <w:rPr>
          <w:rFonts w:ascii="Arial" w:hAnsi="Arial" w:cs="Arial"/>
          <w:b/>
          <w:bCs/>
        </w:rPr>
        <w:t>olicy</w:t>
      </w:r>
    </w:p>
    <w:p w14:paraId="643A97FD" w14:textId="77777777" w:rsidR="0025176B" w:rsidRPr="003746CB" w:rsidRDefault="0025176B" w:rsidP="0025176B">
      <w:pPr>
        <w:pStyle w:val="Header"/>
        <w:jc w:val="center"/>
        <w:rPr>
          <w:rFonts w:ascii="Arial" w:hAnsi="Arial" w:cs="Arial"/>
          <w:b/>
        </w:rPr>
      </w:pPr>
    </w:p>
    <w:tbl>
      <w:tblPr>
        <w:tblStyle w:val="TableGrid"/>
        <w:tblW w:w="0" w:type="auto"/>
        <w:tblLook w:val="04A0" w:firstRow="1" w:lastRow="0" w:firstColumn="1" w:lastColumn="0" w:noHBand="0" w:noVBand="1"/>
      </w:tblPr>
      <w:tblGrid>
        <w:gridCol w:w="2405"/>
        <w:gridCol w:w="7223"/>
      </w:tblGrid>
      <w:tr w:rsidR="0025176B" w:rsidRPr="003746CB" w14:paraId="28823DAC" w14:textId="77777777" w:rsidTr="005D0E72">
        <w:trPr>
          <w:trHeight w:val="796"/>
        </w:trPr>
        <w:tc>
          <w:tcPr>
            <w:tcW w:w="2405" w:type="dxa"/>
          </w:tcPr>
          <w:p w14:paraId="36E5AE09" w14:textId="77777777" w:rsidR="0025176B" w:rsidRPr="003746CB" w:rsidRDefault="0025176B" w:rsidP="00782038">
            <w:pPr>
              <w:pStyle w:val="Header"/>
              <w:rPr>
                <w:rFonts w:ascii="Arial" w:hAnsi="Arial" w:cs="Arial"/>
                <w:b/>
                <w:sz w:val="22"/>
                <w:szCs w:val="22"/>
              </w:rPr>
            </w:pPr>
            <w:r w:rsidRPr="003746CB">
              <w:rPr>
                <w:rFonts w:ascii="Arial" w:hAnsi="Arial" w:cs="Arial"/>
                <w:b/>
                <w:sz w:val="22"/>
                <w:szCs w:val="22"/>
              </w:rPr>
              <w:t>Background</w:t>
            </w:r>
          </w:p>
        </w:tc>
        <w:tc>
          <w:tcPr>
            <w:tcW w:w="7223" w:type="dxa"/>
          </w:tcPr>
          <w:p w14:paraId="2F68ADCD" w14:textId="77777777" w:rsidR="0025176B" w:rsidRDefault="005D0E72" w:rsidP="0025176B">
            <w:pPr>
              <w:jc w:val="both"/>
              <w:rPr>
                <w:rFonts w:ascii="Arial" w:hAnsi="Arial" w:cs="Arial"/>
                <w:sz w:val="22"/>
                <w:szCs w:val="22"/>
              </w:rPr>
            </w:pPr>
            <w:r w:rsidRPr="003746CB">
              <w:rPr>
                <w:rFonts w:ascii="Arial" w:hAnsi="Arial" w:cs="Arial"/>
                <w:sz w:val="22"/>
                <w:szCs w:val="22"/>
              </w:rPr>
              <w:t>This policy sets out the Witham and Humber Drainage Boards’ stance on the acceptance of gifts and hospitality in accordance with the Bribery Act 2010.</w:t>
            </w:r>
          </w:p>
          <w:p w14:paraId="54D5C8B9" w14:textId="4F87FFAF" w:rsidR="003746CB" w:rsidRPr="003746CB" w:rsidRDefault="003746CB" w:rsidP="0025176B">
            <w:pPr>
              <w:jc w:val="both"/>
              <w:rPr>
                <w:rFonts w:ascii="Arial" w:hAnsi="Arial" w:cs="Arial"/>
                <w:sz w:val="22"/>
                <w:szCs w:val="22"/>
              </w:rPr>
            </w:pPr>
          </w:p>
        </w:tc>
      </w:tr>
      <w:tr w:rsidR="0025176B" w:rsidRPr="003746CB" w14:paraId="07E5C96A" w14:textId="77777777" w:rsidTr="00782038">
        <w:tc>
          <w:tcPr>
            <w:tcW w:w="2405" w:type="dxa"/>
          </w:tcPr>
          <w:p w14:paraId="2784A882" w14:textId="77777777" w:rsidR="0025176B" w:rsidRPr="003746CB" w:rsidRDefault="0025176B" w:rsidP="00782038">
            <w:pPr>
              <w:pStyle w:val="Header"/>
              <w:rPr>
                <w:rFonts w:ascii="Arial" w:hAnsi="Arial" w:cs="Arial"/>
                <w:b/>
                <w:sz w:val="22"/>
                <w:szCs w:val="22"/>
              </w:rPr>
            </w:pPr>
            <w:r w:rsidRPr="003746CB">
              <w:rPr>
                <w:rFonts w:ascii="Arial" w:hAnsi="Arial" w:cs="Arial"/>
                <w:b/>
                <w:sz w:val="22"/>
                <w:szCs w:val="22"/>
              </w:rPr>
              <w:t>Statement</w:t>
            </w:r>
          </w:p>
        </w:tc>
        <w:tc>
          <w:tcPr>
            <w:tcW w:w="7223" w:type="dxa"/>
          </w:tcPr>
          <w:p w14:paraId="00E442E4" w14:textId="7D7F61D0" w:rsidR="0025176B" w:rsidRDefault="005D0E72" w:rsidP="0025176B">
            <w:pPr>
              <w:jc w:val="both"/>
              <w:rPr>
                <w:rFonts w:ascii="Arial" w:hAnsi="Arial" w:cs="Arial"/>
                <w:sz w:val="22"/>
                <w:szCs w:val="22"/>
              </w:rPr>
            </w:pPr>
            <w:r w:rsidRPr="003746CB">
              <w:rPr>
                <w:rFonts w:ascii="Arial" w:hAnsi="Arial" w:cs="Arial"/>
                <w:sz w:val="22"/>
                <w:szCs w:val="22"/>
              </w:rPr>
              <w:t>To protect the employees conflict of interest or acceptance of the gift which could affect the employees contract or perceived to do so</w:t>
            </w:r>
          </w:p>
          <w:p w14:paraId="0D2CB9EF" w14:textId="5DE04C84" w:rsidR="003746CB" w:rsidRPr="003746CB" w:rsidRDefault="003746CB" w:rsidP="0025176B">
            <w:pPr>
              <w:jc w:val="both"/>
              <w:rPr>
                <w:rFonts w:ascii="Arial" w:hAnsi="Arial" w:cs="Arial"/>
                <w:b/>
                <w:sz w:val="22"/>
                <w:szCs w:val="22"/>
              </w:rPr>
            </w:pPr>
          </w:p>
        </w:tc>
      </w:tr>
      <w:tr w:rsidR="0025176B" w:rsidRPr="003746CB" w14:paraId="2E5549AD" w14:textId="77777777" w:rsidTr="00782038">
        <w:tc>
          <w:tcPr>
            <w:tcW w:w="2405" w:type="dxa"/>
          </w:tcPr>
          <w:p w14:paraId="156C94D8" w14:textId="77777777" w:rsidR="0025176B" w:rsidRPr="003746CB" w:rsidRDefault="0025176B" w:rsidP="00782038">
            <w:pPr>
              <w:pStyle w:val="Header"/>
              <w:rPr>
                <w:rFonts w:ascii="Arial" w:hAnsi="Arial" w:cs="Arial"/>
                <w:b/>
                <w:sz w:val="22"/>
                <w:szCs w:val="22"/>
              </w:rPr>
            </w:pPr>
            <w:r w:rsidRPr="003746CB">
              <w:rPr>
                <w:rFonts w:ascii="Arial" w:hAnsi="Arial" w:cs="Arial"/>
                <w:b/>
                <w:sz w:val="22"/>
                <w:szCs w:val="22"/>
              </w:rPr>
              <w:t xml:space="preserve">Responsibilities </w:t>
            </w:r>
          </w:p>
        </w:tc>
        <w:tc>
          <w:tcPr>
            <w:tcW w:w="7223" w:type="dxa"/>
          </w:tcPr>
          <w:p w14:paraId="0196D1D4" w14:textId="77777777" w:rsidR="0025176B" w:rsidRPr="003746CB" w:rsidRDefault="0025176B" w:rsidP="003746CB">
            <w:pPr>
              <w:rPr>
                <w:rFonts w:ascii="Arial" w:hAnsi="Arial" w:cs="Arial"/>
                <w:sz w:val="22"/>
                <w:szCs w:val="22"/>
              </w:rPr>
            </w:pPr>
            <w:r w:rsidRPr="003746CB">
              <w:rPr>
                <w:rFonts w:ascii="Arial" w:hAnsi="Arial" w:cs="Arial"/>
                <w:bCs/>
                <w:sz w:val="22"/>
                <w:szCs w:val="22"/>
              </w:rPr>
              <w:t xml:space="preserve">Chief Executive for </w:t>
            </w:r>
            <w:r w:rsidRPr="003746CB">
              <w:rPr>
                <w:rFonts w:ascii="Arial" w:hAnsi="Arial" w:cs="Arial"/>
                <w:sz w:val="22"/>
                <w:szCs w:val="22"/>
              </w:rPr>
              <w:t xml:space="preserve">Implementing the scheme and ensuring that employees have necessary information. </w:t>
            </w:r>
          </w:p>
          <w:p w14:paraId="11FC5DB4" w14:textId="77777777" w:rsidR="0025176B" w:rsidRPr="003746CB" w:rsidRDefault="0025176B" w:rsidP="003746CB">
            <w:pPr>
              <w:rPr>
                <w:rFonts w:ascii="Arial" w:hAnsi="Arial" w:cs="Arial"/>
                <w:sz w:val="22"/>
                <w:szCs w:val="22"/>
              </w:rPr>
            </w:pPr>
            <w:r w:rsidRPr="003746CB">
              <w:rPr>
                <w:rFonts w:ascii="Arial" w:hAnsi="Arial" w:cs="Arial"/>
                <w:bCs/>
                <w:sz w:val="22"/>
                <w:szCs w:val="22"/>
              </w:rPr>
              <w:t>HR Lead and Line Managers to e</w:t>
            </w:r>
            <w:r w:rsidRPr="003746CB">
              <w:rPr>
                <w:rFonts w:ascii="Arial" w:hAnsi="Arial" w:cs="Arial"/>
                <w:sz w:val="22"/>
                <w:szCs w:val="22"/>
              </w:rPr>
              <w:t xml:space="preserve">nsure that employees have the necessary information and that relevant forms are completed. </w:t>
            </w:r>
          </w:p>
          <w:p w14:paraId="7B3A08C6" w14:textId="77777777" w:rsidR="003746CB" w:rsidRDefault="0025176B" w:rsidP="003746CB">
            <w:pPr>
              <w:rPr>
                <w:rFonts w:ascii="Arial" w:hAnsi="Arial" w:cs="Arial"/>
                <w:sz w:val="22"/>
                <w:szCs w:val="22"/>
              </w:rPr>
            </w:pPr>
            <w:r w:rsidRPr="003746CB">
              <w:rPr>
                <w:rFonts w:ascii="Arial" w:hAnsi="Arial" w:cs="Arial"/>
                <w:bCs/>
                <w:sz w:val="22"/>
                <w:szCs w:val="22"/>
              </w:rPr>
              <w:t>HR Lead and Senior management team to r</w:t>
            </w:r>
            <w:r w:rsidRPr="003746CB">
              <w:rPr>
                <w:rFonts w:ascii="Arial" w:hAnsi="Arial" w:cs="Arial"/>
                <w:sz w:val="22"/>
                <w:szCs w:val="22"/>
              </w:rPr>
              <w:t xml:space="preserve">eview and revision of the policy </w:t>
            </w:r>
          </w:p>
          <w:p w14:paraId="19A371E6" w14:textId="6DF8C211" w:rsidR="003746CB" w:rsidRPr="003746CB" w:rsidRDefault="003746CB" w:rsidP="003746CB">
            <w:pPr>
              <w:rPr>
                <w:rFonts w:ascii="Arial" w:hAnsi="Arial" w:cs="Arial"/>
                <w:sz w:val="22"/>
                <w:szCs w:val="22"/>
              </w:rPr>
            </w:pPr>
          </w:p>
        </w:tc>
      </w:tr>
      <w:tr w:rsidR="0025176B" w:rsidRPr="003746CB" w14:paraId="28E95B82" w14:textId="77777777" w:rsidTr="00782038">
        <w:tc>
          <w:tcPr>
            <w:tcW w:w="2405" w:type="dxa"/>
          </w:tcPr>
          <w:p w14:paraId="18F84E20" w14:textId="77777777" w:rsidR="0025176B" w:rsidRPr="003746CB" w:rsidRDefault="0025176B" w:rsidP="00782038">
            <w:pPr>
              <w:pStyle w:val="Header"/>
              <w:rPr>
                <w:rFonts w:ascii="Arial" w:hAnsi="Arial" w:cs="Arial"/>
                <w:b/>
                <w:sz w:val="22"/>
                <w:szCs w:val="22"/>
              </w:rPr>
            </w:pPr>
            <w:r w:rsidRPr="003746CB">
              <w:rPr>
                <w:rFonts w:ascii="Arial" w:hAnsi="Arial" w:cs="Arial"/>
                <w:b/>
                <w:sz w:val="22"/>
                <w:szCs w:val="22"/>
              </w:rPr>
              <w:t>Training</w:t>
            </w:r>
          </w:p>
        </w:tc>
        <w:tc>
          <w:tcPr>
            <w:tcW w:w="7223" w:type="dxa"/>
          </w:tcPr>
          <w:p w14:paraId="7C434CD8" w14:textId="77777777" w:rsidR="0025176B" w:rsidRDefault="0025176B" w:rsidP="00782038">
            <w:pPr>
              <w:pStyle w:val="Header"/>
              <w:rPr>
                <w:rFonts w:ascii="Arial" w:hAnsi="Arial" w:cs="Arial"/>
                <w:sz w:val="22"/>
                <w:szCs w:val="22"/>
              </w:rPr>
            </w:pPr>
            <w:r w:rsidRPr="003746CB">
              <w:rPr>
                <w:rFonts w:ascii="Arial" w:hAnsi="Arial" w:cs="Arial"/>
                <w:sz w:val="22"/>
                <w:szCs w:val="22"/>
              </w:rPr>
              <w:t xml:space="preserve">HR Lead to offer support, guidance and training in the most appropriate approach </w:t>
            </w:r>
          </w:p>
          <w:p w14:paraId="08D9DC69" w14:textId="1AD86FBC" w:rsidR="003746CB" w:rsidRPr="003746CB" w:rsidRDefault="003746CB" w:rsidP="00782038">
            <w:pPr>
              <w:pStyle w:val="Header"/>
              <w:rPr>
                <w:rFonts w:ascii="Arial" w:hAnsi="Arial" w:cs="Arial"/>
                <w:sz w:val="22"/>
                <w:szCs w:val="22"/>
              </w:rPr>
            </w:pPr>
          </w:p>
        </w:tc>
      </w:tr>
      <w:tr w:rsidR="0025176B" w:rsidRPr="003746CB" w14:paraId="0C23D175" w14:textId="77777777" w:rsidTr="00782038">
        <w:tc>
          <w:tcPr>
            <w:tcW w:w="2405" w:type="dxa"/>
          </w:tcPr>
          <w:p w14:paraId="1B6864A1" w14:textId="77777777" w:rsidR="0025176B" w:rsidRPr="003746CB" w:rsidRDefault="0025176B" w:rsidP="00782038">
            <w:pPr>
              <w:pStyle w:val="Header"/>
              <w:rPr>
                <w:rFonts w:ascii="Arial" w:hAnsi="Arial" w:cs="Arial"/>
                <w:b/>
                <w:sz w:val="22"/>
                <w:szCs w:val="22"/>
              </w:rPr>
            </w:pPr>
            <w:r w:rsidRPr="003746CB">
              <w:rPr>
                <w:rFonts w:ascii="Arial" w:hAnsi="Arial" w:cs="Arial"/>
                <w:b/>
                <w:sz w:val="22"/>
                <w:szCs w:val="22"/>
              </w:rPr>
              <w:t xml:space="preserve">Equality and Diversity </w:t>
            </w:r>
          </w:p>
        </w:tc>
        <w:tc>
          <w:tcPr>
            <w:tcW w:w="7223" w:type="dxa"/>
          </w:tcPr>
          <w:p w14:paraId="0EE940E2" w14:textId="77777777" w:rsidR="0025176B" w:rsidRPr="003746CB" w:rsidRDefault="0025176B" w:rsidP="00782038">
            <w:pPr>
              <w:rPr>
                <w:rFonts w:ascii="Arial" w:hAnsi="Arial" w:cs="Arial"/>
                <w:sz w:val="22"/>
                <w:szCs w:val="22"/>
              </w:rPr>
            </w:pPr>
            <w:r w:rsidRPr="003746CB">
              <w:rPr>
                <w:rFonts w:ascii="Arial" w:hAnsi="Arial" w:cs="Arial"/>
                <w:sz w:val="22"/>
                <w:szCs w:val="22"/>
              </w:rPr>
              <w:t>This policy aims to meet the requirements of the Equality Act 2010 and ensure that no employee receives less favourable treatment on the grounds of gender, sexual orientation, transgender, civil partnership/marital status, appearance, race, nationality, ethnic or national origins, religion/belief or no religion/belief, disability, age, carer, pregnancy or maternity, social status or trade union membership.</w:t>
            </w:r>
          </w:p>
          <w:p w14:paraId="256AC567" w14:textId="77777777" w:rsidR="0025176B" w:rsidRPr="003746CB" w:rsidRDefault="0025176B" w:rsidP="00782038">
            <w:pPr>
              <w:pStyle w:val="Header"/>
              <w:rPr>
                <w:rFonts w:ascii="Arial" w:hAnsi="Arial" w:cs="Arial"/>
                <w:sz w:val="22"/>
                <w:szCs w:val="22"/>
              </w:rPr>
            </w:pPr>
          </w:p>
        </w:tc>
      </w:tr>
      <w:tr w:rsidR="0025176B" w:rsidRPr="003746CB" w14:paraId="4E433F07" w14:textId="77777777" w:rsidTr="00782038">
        <w:tc>
          <w:tcPr>
            <w:tcW w:w="2405" w:type="dxa"/>
          </w:tcPr>
          <w:p w14:paraId="552726D8" w14:textId="77777777" w:rsidR="0025176B" w:rsidRPr="003746CB" w:rsidRDefault="0025176B" w:rsidP="00782038">
            <w:pPr>
              <w:pStyle w:val="Header"/>
              <w:rPr>
                <w:rFonts w:ascii="Arial" w:hAnsi="Arial" w:cs="Arial"/>
                <w:b/>
                <w:sz w:val="22"/>
                <w:szCs w:val="22"/>
              </w:rPr>
            </w:pPr>
            <w:r w:rsidRPr="003746CB">
              <w:rPr>
                <w:rFonts w:ascii="Arial" w:hAnsi="Arial" w:cs="Arial"/>
                <w:b/>
                <w:sz w:val="22"/>
                <w:szCs w:val="22"/>
              </w:rPr>
              <w:t xml:space="preserve">Association of Drainage Authorities (ADA) </w:t>
            </w:r>
          </w:p>
        </w:tc>
        <w:tc>
          <w:tcPr>
            <w:tcW w:w="7223" w:type="dxa"/>
          </w:tcPr>
          <w:p w14:paraId="5A0A0A8A" w14:textId="77777777" w:rsidR="0025176B" w:rsidRPr="003746CB" w:rsidRDefault="0025176B" w:rsidP="00782038">
            <w:pPr>
              <w:pStyle w:val="Header"/>
              <w:rPr>
                <w:rFonts w:ascii="Arial" w:hAnsi="Arial" w:cs="Arial"/>
                <w:sz w:val="22"/>
                <w:szCs w:val="22"/>
              </w:rPr>
            </w:pPr>
            <w:r w:rsidRPr="003746CB">
              <w:rPr>
                <w:rFonts w:ascii="Arial" w:hAnsi="Arial" w:cs="Arial"/>
                <w:sz w:val="22"/>
                <w:szCs w:val="22"/>
              </w:rPr>
              <w:t>Local Policy in Line with Lincolnshire Branch Wages and Salaries and Conditions of Service 2019</w:t>
            </w:r>
          </w:p>
        </w:tc>
      </w:tr>
      <w:tr w:rsidR="0025176B" w:rsidRPr="003746CB" w14:paraId="39469E71" w14:textId="77777777" w:rsidTr="00782038">
        <w:tc>
          <w:tcPr>
            <w:tcW w:w="2405" w:type="dxa"/>
          </w:tcPr>
          <w:p w14:paraId="04D5C2CB" w14:textId="77777777" w:rsidR="0025176B" w:rsidRPr="003746CB" w:rsidRDefault="0025176B" w:rsidP="00782038">
            <w:pPr>
              <w:pStyle w:val="Header"/>
              <w:rPr>
                <w:rFonts w:ascii="Arial" w:hAnsi="Arial" w:cs="Arial"/>
                <w:b/>
                <w:sz w:val="22"/>
                <w:szCs w:val="22"/>
              </w:rPr>
            </w:pPr>
            <w:r w:rsidRPr="003746CB">
              <w:rPr>
                <w:rFonts w:ascii="Arial" w:hAnsi="Arial" w:cs="Arial"/>
                <w:b/>
                <w:sz w:val="22"/>
                <w:szCs w:val="22"/>
              </w:rPr>
              <w:t>Dissemination</w:t>
            </w:r>
          </w:p>
        </w:tc>
        <w:tc>
          <w:tcPr>
            <w:tcW w:w="7223" w:type="dxa"/>
          </w:tcPr>
          <w:p w14:paraId="179E91A8" w14:textId="77777777" w:rsidR="0025176B" w:rsidRPr="003746CB" w:rsidRDefault="0025176B" w:rsidP="00782038">
            <w:pPr>
              <w:pStyle w:val="Header"/>
              <w:rPr>
                <w:rFonts w:ascii="Arial" w:hAnsi="Arial" w:cs="Arial"/>
                <w:sz w:val="22"/>
                <w:szCs w:val="22"/>
              </w:rPr>
            </w:pPr>
            <w:r w:rsidRPr="003746CB">
              <w:rPr>
                <w:rFonts w:ascii="Arial" w:hAnsi="Arial" w:cs="Arial"/>
                <w:sz w:val="22"/>
                <w:szCs w:val="22"/>
              </w:rPr>
              <w:t xml:space="preserve">Board Website </w:t>
            </w:r>
          </w:p>
        </w:tc>
      </w:tr>
      <w:tr w:rsidR="0025176B" w:rsidRPr="003746CB" w14:paraId="36A05CF7" w14:textId="77777777" w:rsidTr="00782038">
        <w:tc>
          <w:tcPr>
            <w:tcW w:w="2405" w:type="dxa"/>
          </w:tcPr>
          <w:p w14:paraId="653928AB" w14:textId="77777777" w:rsidR="0025176B" w:rsidRPr="003746CB" w:rsidRDefault="0025176B" w:rsidP="00782038">
            <w:pPr>
              <w:pStyle w:val="Header"/>
              <w:rPr>
                <w:rFonts w:ascii="Arial" w:hAnsi="Arial" w:cs="Arial"/>
                <w:b/>
                <w:sz w:val="22"/>
                <w:szCs w:val="22"/>
              </w:rPr>
            </w:pPr>
            <w:r w:rsidRPr="003746CB">
              <w:rPr>
                <w:rFonts w:ascii="Arial" w:hAnsi="Arial" w:cs="Arial"/>
                <w:b/>
                <w:sz w:val="22"/>
                <w:szCs w:val="22"/>
              </w:rPr>
              <w:t xml:space="preserve">Version </w:t>
            </w:r>
          </w:p>
        </w:tc>
        <w:tc>
          <w:tcPr>
            <w:tcW w:w="7223" w:type="dxa"/>
          </w:tcPr>
          <w:p w14:paraId="5CDA1D3C" w14:textId="5D48487B" w:rsidR="0025176B" w:rsidRPr="003746CB" w:rsidRDefault="0025176B" w:rsidP="00782038">
            <w:pPr>
              <w:pStyle w:val="Header"/>
              <w:rPr>
                <w:rFonts w:ascii="Arial" w:hAnsi="Arial" w:cs="Arial"/>
                <w:sz w:val="22"/>
                <w:szCs w:val="22"/>
              </w:rPr>
            </w:pPr>
            <w:r w:rsidRPr="003746CB">
              <w:rPr>
                <w:rFonts w:ascii="Arial" w:hAnsi="Arial" w:cs="Arial"/>
                <w:sz w:val="22"/>
                <w:szCs w:val="22"/>
              </w:rPr>
              <w:t>V</w:t>
            </w:r>
            <w:r w:rsidR="003746CB">
              <w:rPr>
                <w:rFonts w:ascii="Arial" w:hAnsi="Arial" w:cs="Arial"/>
                <w:sz w:val="22"/>
                <w:szCs w:val="22"/>
              </w:rPr>
              <w:t>3</w:t>
            </w:r>
          </w:p>
        </w:tc>
      </w:tr>
      <w:tr w:rsidR="0025176B" w:rsidRPr="003746CB" w14:paraId="5B8C1CD9" w14:textId="77777777" w:rsidTr="00782038">
        <w:tc>
          <w:tcPr>
            <w:tcW w:w="2405" w:type="dxa"/>
          </w:tcPr>
          <w:p w14:paraId="411B4539" w14:textId="77777777" w:rsidR="0025176B" w:rsidRPr="003746CB" w:rsidRDefault="0025176B" w:rsidP="00782038">
            <w:pPr>
              <w:pStyle w:val="Header"/>
              <w:rPr>
                <w:rFonts w:ascii="Arial" w:hAnsi="Arial" w:cs="Arial"/>
                <w:b/>
                <w:sz w:val="22"/>
                <w:szCs w:val="22"/>
              </w:rPr>
            </w:pPr>
            <w:r w:rsidRPr="003746CB">
              <w:rPr>
                <w:rFonts w:ascii="Arial" w:hAnsi="Arial" w:cs="Arial"/>
                <w:b/>
                <w:sz w:val="22"/>
                <w:szCs w:val="22"/>
              </w:rPr>
              <w:t xml:space="preserve">Approval Date </w:t>
            </w:r>
          </w:p>
        </w:tc>
        <w:tc>
          <w:tcPr>
            <w:tcW w:w="7223" w:type="dxa"/>
          </w:tcPr>
          <w:p w14:paraId="4E3B7F36" w14:textId="77777777" w:rsidR="0025176B" w:rsidRPr="003746CB" w:rsidRDefault="0025176B" w:rsidP="00782038">
            <w:pPr>
              <w:pStyle w:val="Header"/>
              <w:rPr>
                <w:rFonts w:ascii="Arial" w:hAnsi="Arial" w:cs="Arial"/>
                <w:sz w:val="22"/>
                <w:szCs w:val="22"/>
              </w:rPr>
            </w:pPr>
          </w:p>
        </w:tc>
      </w:tr>
      <w:tr w:rsidR="0025176B" w:rsidRPr="003746CB" w14:paraId="59B72098" w14:textId="77777777" w:rsidTr="00782038">
        <w:tc>
          <w:tcPr>
            <w:tcW w:w="2405" w:type="dxa"/>
          </w:tcPr>
          <w:p w14:paraId="293B8FB1" w14:textId="77777777" w:rsidR="0025176B" w:rsidRPr="003746CB" w:rsidRDefault="0025176B" w:rsidP="00782038">
            <w:pPr>
              <w:pStyle w:val="Header"/>
              <w:rPr>
                <w:rFonts w:ascii="Arial" w:hAnsi="Arial" w:cs="Arial"/>
                <w:b/>
                <w:sz w:val="22"/>
                <w:szCs w:val="22"/>
              </w:rPr>
            </w:pPr>
            <w:r w:rsidRPr="003746CB">
              <w:rPr>
                <w:rFonts w:ascii="Arial" w:hAnsi="Arial" w:cs="Arial"/>
                <w:b/>
                <w:sz w:val="22"/>
                <w:szCs w:val="22"/>
              </w:rPr>
              <w:t xml:space="preserve">Review Date </w:t>
            </w:r>
          </w:p>
        </w:tc>
        <w:tc>
          <w:tcPr>
            <w:tcW w:w="7223" w:type="dxa"/>
          </w:tcPr>
          <w:p w14:paraId="6D04517D" w14:textId="77777777" w:rsidR="0025176B" w:rsidRPr="003746CB" w:rsidRDefault="0025176B" w:rsidP="00782038">
            <w:pPr>
              <w:pStyle w:val="Header"/>
              <w:rPr>
                <w:rFonts w:ascii="Arial" w:hAnsi="Arial" w:cs="Arial"/>
                <w:sz w:val="22"/>
                <w:szCs w:val="22"/>
              </w:rPr>
            </w:pPr>
            <w:r w:rsidRPr="003746CB">
              <w:rPr>
                <w:rFonts w:ascii="Arial" w:hAnsi="Arial" w:cs="Arial"/>
                <w:sz w:val="22"/>
                <w:szCs w:val="22"/>
              </w:rPr>
              <w:t>3 yearly or as and when policy guidance changes</w:t>
            </w:r>
          </w:p>
        </w:tc>
      </w:tr>
    </w:tbl>
    <w:p w14:paraId="616A4E8B" w14:textId="77777777" w:rsidR="0025176B" w:rsidRPr="003746CB" w:rsidRDefault="0025176B" w:rsidP="0025176B">
      <w:pPr>
        <w:rPr>
          <w:rFonts w:ascii="Arial" w:hAnsi="Arial" w:cs="Arial"/>
        </w:rPr>
      </w:pPr>
    </w:p>
    <w:p w14:paraId="5CB3DFF5" w14:textId="2AFCE737" w:rsidR="00BF3E68" w:rsidRPr="003746CB" w:rsidRDefault="003746CB" w:rsidP="00BF3E68">
      <w:pPr>
        <w:pStyle w:val="Customisabledocumentheading"/>
        <w:jc w:val="both"/>
        <w:rPr>
          <w:rFonts w:cs="Arial"/>
          <w:caps/>
          <w:sz w:val="22"/>
        </w:rPr>
      </w:pPr>
      <w:r>
        <w:rPr>
          <w:rFonts w:cs="Arial"/>
          <w:caps/>
          <w:sz w:val="22"/>
        </w:rPr>
        <w:t xml:space="preserve">1. </w:t>
      </w:r>
      <w:r>
        <w:rPr>
          <w:rFonts w:cs="Arial"/>
          <w:caps/>
          <w:sz w:val="22"/>
        </w:rPr>
        <w:tab/>
      </w:r>
      <w:r w:rsidR="00BF3E68" w:rsidRPr="003746CB">
        <w:rPr>
          <w:rFonts w:cs="Arial"/>
          <w:caps/>
          <w:sz w:val="22"/>
        </w:rPr>
        <w:t>i</w:t>
      </w:r>
      <w:r w:rsidR="00BF3E68" w:rsidRPr="003746CB">
        <w:rPr>
          <w:rFonts w:cs="Arial"/>
          <w:sz w:val="22"/>
        </w:rPr>
        <w:t>ntroduction</w:t>
      </w:r>
    </w:p>
    <w:p w14:paraId="621172D5" w14:textId="77777777" w:rsidR="003746CB" w:rsidRDefault="003746CB" w:rsidP="00BF3E68">
      <w:pPr>
        <w:spacing w:after="0" w:line="240" w:lineRule="auto"/>
        <w:jc w:val="both"/>
        <w:rPr>
          <w:rFonts w:ascii="Arial" w:hAnsi="Arial" w:cs="Arial"/>
        </w:rPr>
      </w:pPr>
    </w:p>
    <w:p w14:paraId="7BA3A2E6" w14:textId="740C9CFD" w:rsidR="00BF3E68" w:rsidRPr="003746CB" w:rsidRDefault="003746CB" w:rsidP="003746CB">
      <w:pPr>
        <w:spacing w:after="0" w:line="240" w:lineRule="auto"/>
        <w:ind w:left="1134" w:hanging="567"/>
        <w:jc w:val="both"/>
        <w:rPr>
          <w:rFonts w:ascii="Arial" w:hAnsi="Arial" w:cs="Arial"/>
        </w:rPr>
      </w:pPr>
      <w:r>
        <w:rPr>
          <w:rFonts w:ascii="Arial" w:hAnsi="Arial" w:cs="Arial"/>
        </w:rPr>
        <w:t xml:space="preserve">1.1 </w:t>
      </w:r>
      <w:r>
        <w:rPr>
          <w:rFonts w:ascii="Arial" w:hAnsi="Arial" w:cs="Arial"/>
        </w:rPr>
        <w:tab/>
      </w:r>
      <w:r w:rsidR="00BF3E68" w:rsidRPr="003746CB">
        <w:rPr>
          <w:rFonts w:ascii="Arial" w:hAnsi="Arial" w:cs="Arial"/>
        </w:rPr>
        <w:t xml:space="preserve">This policy sets out the </w:t>
      </w:r>
      <w:r w:rsidR="00762D26" w:rsidRPr="003746CB">
        <w:rPr>
          <w:rFonts w:ascii="Arial" w:hAnsi="Arial" w:cs="Arial"/>
        </w:rPr>
        <w:t xml:space="preserve">Witham and Humber Drainage </w:t>
      </w:r>
      <w:r w:rsidR="00BF3E68" w:rsidRPr="003746CB">
        <w:rPr>
          <w:rFonts w:ascii="Arial" w:hAnsi="Arial" w:cs="Arial"/>
        </w:rPr>
        <w:t>Boards</w:t>
      </w:r>
      <w:r w:rsidR="00762D26" w:rsidRPr="003746CB">
        <w:rPr>
          <w:rFonts w:ascii="Arial" w:hAnsi="Arial" w:cs="Arial"/>
        </w:rPr>
        <w:t>’</w:t>
      </w:r>
      <w:r w:rsidR="00BF3E68" w:rsidRPr="003746CB">
        <w:rPr>
          <w:rFonts w:ascii="Arial" w:hAnsi="Arial" w:cs="Arial"/>
        </w:rPr>
        <w:t xml:space="preserve"> stance on the acceptance of gifts and hospitality in accordance with the Bribery Act 2010.</w:t>
      </w:r>
    </w:p>
    <w:p w14:paraId="4FAD5D25" w14:textId="77777777" w:rsidR="00BF3E68" w:rsidRPr="003746CB" w:rsidRDefault="00BF3E68" w:rsidP="003746CB">
      <w:pPr>
        <w:spacing w:after="0" w:line="240" w:lineRule="auto"/>
        <w:ind w:left="1134" w:hanging="567"/>
        <w:jc w:val="both"/>
        <w:rPr>
          <w:rFonts w:ascii="Arial" w:hAnsi="Arial" w:cs="Arial"/>
        </w:rPr>
      </w:pPr>
    </w:p>
    <w:p w14:paraId="48DB3D91" w14:textId="2B7757AE" w:rsidR="00BF3E68" w:rsidRPr="003746CB" w:rsidRDefault="003746CB" w:rsidP="003746CB">
      <w:pPr>
        <w:spacing w:after="0" w:line="240" w:lineRule="auto"/>
        <w:ind w:left="1134" w:hanging="567"/>
        <w:jc w:val="both"/>
        <w:rPr>
          <w:rFonts w:ascii="Arial" w:hAnsi="Arial" w:cs="Arial"/>
        </w:rPr>
      </w:pPr>
      <w:r>
        <w:rPr>
          <w:rFonts w:ascii="Arial" w:hAnsi="Arial" w:cs="Arial"/>
        </w:rPr>
        <w:t xml:space="preserve">1.2 </w:t>
      </w:r>
      <w:r>
        <w:rPr>
          <w:rFonts w:ascii="Arial" w:hAnsi="Arial" w:cs="Arial"/>
        </w:rPr>
        <w:tab/>
      </w:r>
      <w:r w:rsidR="00BF3E68" w:rsidRPr="003746CB">
        <w:rPr>
          <w:rFonts w:ascii="Arial" w:hAnsi="Arial" w:cs="Arial"/>
        </w:rPr>
        <w:t xml:space="preserve">Gifts of a very low monetary value are permitted (£25.00 or below); Employees are permitted to accept offers of </w:t>
      </w:r>
      <w:r w:rsidR="00B110D4">
        <w:rPr>
          <w:rFonts w:ascii="Arial" w:hAnsi="Arial" w:cs="Arial"/>
        </w:rPr>
        <w:t xml:space="preserve">gifts above the low monetary value and/or </w:t>
      </w:r>
      <w:r w:rsidR="00BF3E68" w:rsidRPr="003746CB">
        <w:rPr>
          <w:rFonts w:ascii="Arial" w:hAnsi="Arial" w:cs="Arial"/>
        </w:rPr>
        <w:t xml:space="preserve">corporate </w:t>
      </w:r>
      <w:r w:rsidR="00BF3E68" w:rsidRPr="003746CB">
        <w:rPr>
          <w:rFonts w:ascii="Arial" w:hAnsi="Arial" w:cs="Arial"/>
        </w:rPr>
        <w:lastRenderedPageBreak/>
        <w:t>hospitality on the condition that prior authorisation is sought from the employee’s</w:t>
      </w:r>
      <w:r w:rsidR="00762D26" w:rsidRPr="003746CB">
        <w:rPr>
          <w:rFonts w:ascii="Arial" w:hAnsi="Arial" w:cs="Arial"/>
        </w:rPr>
        <w:t xml:space="preserve"> line manager and providing there is no conflict of interest or acceptance of the gift which could affect the employees contract or perceived to do so</w:t>
      </w:r>
      <w:r w:rsidR="00BF3E68" w:rsidRPr="003746CB">
        <w:rPr>
          <w:rFonts w:ascii="Arial" w:hAnsi="Arial" w:cs="Arial"/>
        </w:rPr>
        <w:t>. Employees should be aware of the definitions of ‘gift’ and ‘hospitality’ given below.</w:t>
      </w:r>
    </w:p>
    <w:p w14:paraId="1DD5B773" w14:textId="77777777" w:rsidR="00BF3E68" w:rsidRPr="003746CB" w:rsidRDefault="00BF3E68" w:rsidP="003746CB">
      <w:pPr>
        <w:spacing w:after="0" w:line="240" w:lineRule="auto"/>
        <w:ind w:left="1134" w:hanging="567"/>
        <w:jc w:val="both"/>
        <w:rPr>
          <w:rFonts w:ascii="Arial" w:hAnsi="Arial" w:cs="Arial"/>
        </w:rPr>
      </w:pPr>
    </w:p>
    <w:p w14:paraId="2AEB6D1A" w14:textId="7BAB7B59" w:rsidR="00BF3E68" w:rsidRPr="003746CB" w:rsidRDefault="003746CB" w:rsidP="003746CB">
      <w:pPr>
        <w:spacing w:after="0" w:line="240" w:lineRule="auto"/>
        <w:ind w:left="1134" w:hanging="567"/>
        <w:jc w:val="both"/>
        <w:rPr>
          <w:rFonts w:ascii="Arial" w:hAnsi="Arial" w:cs="Arial"/>
        </w:rPr>
      </w:pPr>
      <w:r>
        <w:rPr>
          <w:rFonts w:ascii="Arial" w:hAnsi="Arial" w:cs="Arial"/>
        </w:rPr>
        <w:t xml:space="preserve">1.3 </w:t>
      </w:r>
      <w:r>
        <w:rPr>
          <w:rFonts w:ascii="Arial" w:hAnsi="Arial" w:cs="Arial"/>
        </w:rPr>
        <w:tab/>
      </w:r>
      <w:r w:rsidR="00BF3E68" w:rsidRPr="003746CB">
        <w:rPr>
          <w:rFonts w:ascii="Arial" w:hAnsi="Arial" w:cs="Arial"/>
        </w:rPr>
        <w:t>Employees are advised to use their judgment on whether a gift would meet the definition of “appropriate”. When considering this, employees should take into account the bearer of the gift and context in which it is offered. Could it be seen as an incentive during a</w:t>
      </w:r>
      <w:r w:rsidR="00762D26" w:rsidRPr="003746CB">
        <w:rPr>
          <w:rFonts w:ascii="Arial" w:hAnsi="Arial" w:cs="Arial"/>
        </w:rPr>
        <w:t xml:space="preserve">n initial </w:t>
      </w:r>
      <w:r w:rsidR="00BF3E68" w:rsidRPr="003746CB">
        <w:rPr>
          <w:rFonts w:ascii="Arial" w:hAnsi="Arial" w:cs="Arial"/>
        </w:rPr>
        <w:t>tender</w:t>
      </w:r>
      <w:r w:rsidR="00762D26" w:rsidRPr="003746CB">
        <w:rPr>
          <w:rFonts w:ascii="Arial" w:hAnsi="Arial" w:cs="Arial"/>
        </w:rPr>
        <w:t xml:space="preserve"> to</w:t>
      </w:r>
      <w:r w:rsidR="00BF3E68" w:rsidRPr="003746CB">
        <w:rPr>
          <w:rFonts w:ascii="Arial" w:hAnsi="Arial" w:cs="Arial"/>
        </w:rPr>
        <w:t xml:space="preserve"> exercise, for example</w:t>
      </w:r>
      <w:r w:rsidR="00762D26" w:rsidRPr="003746CB">
        <w:rPr>
          <w:rFonts w:ascii="Arial" w:hAnsi="Arial" w:cs="Arial"/>
        </w:rPr>
        <w:t>;</w:t>
      </w:r>
      <w:r w:rsidR="00BF3E68" w:rsidRPr="003746CB">
        <w:rPr>
          <w:rFonts w:ascii="Arial" w:hAnsi="Arial" w:cs="Arial"/>
        </w:rPr>
        <w:t xml:space="preserve"> Employees who require clarification on the appropriateness of an offer must speak with their </w:t>
      </w:r>
      <w:r w:rsidR="00762D26" w:rsidRPr="003746CB">
        <w:rPr>
          <w:rFonts w:ascii="Arial" w:hAnsi="Arial" w:cs="Arial"/>
        </w:rPr>
        <w:t>line manager</w:t>
      </w:r>
      <w:r w:rsidR="00BF3E68" w:rsidRPr="003746CB">
        <w:rPr>
          <w:rFonts w:ascii="Arial" w:hAnsi="Arial" w:cs="Arial"/>
        </w:rPr>
        <w:t xml:space="preserve"> before </w:t>
      </w:r>
      <w:r w:rsidR="00762D26" w:rsidRPr="003746CB">
        <w:rPr>
          <w:rFonts w:ascii="Arial" w:hAnsi="Arial" w:cs="Arial"/>
        </w:rPr>
        <w:t>acceptance of such.</w:t>
      </w:r>
    </w:p>
    <w:p w14:paraId="24C54C5F" w14:textId="77777777" w:rsidR="00BF3E68" w:rsidRPr="003746CB" w:rsidRDefault="00BF3E68" w:rsidP="003746CB">
      <w:pPr>
        <w:spacing w:after="0" w:line="240" w:lineRule="auto"/>
        <w:ind w:left="1134" w:hanging="567"/>
        <w:jc w:val="both"/>
        <w:rPr>
          <w:rFonts w:ascii="Arial" w:hAnsi="Arial" w:cs="Arial"/>
        </w:rPr>
      </w:pPr>
    </w:p>
    <w:p w14:paraId="400FAEC1" w14:textId="4FDCE892" w:rsidR="00BF3E68" w:rsidRPr="003746CB" w:rsidRDefault="003746CB" w:rsidP="003746CB">
      <w:pPr>
        <w:spacing w:after="0" w:line="240" w:lineRule="auto"/>
        <w:ind w:left="1134" w:hanging="567"/>
        <w:jc w:val="both"/>
        <w:rPr>
          <w:rFonts w:ascii="Arial" w:hAnsi="Arial" w:cs="Arial"/>
        </w:rPr>
      </w:pPr>
      <w:r>
        <w:rPr>
          <w:rFonts w:ascii="Arial" w:hAnsi="Arial" w:cs="Arial"/>
        </w:rPr>
        <w:t xml:space="preserve">1.4 </w:t>
      </w:r>
      <w:r>
        <w:rPr>
          <w:rFonts w:ascii="Arial" w:hAnsi="Arial" w:cs="Arial"/>
        </w:rPr>
        <w:tab/>
      </w:r>
      <w:r w:rsidR="00BF3E68" w:rsidRPr="003746CB">
        <w:rPr>
          <w:rFonts w:ascii="Arial" w:hAnsi="Arial" w:cs="Arial"/>
        </w:rPr>
        <w:t>Please also refer to the Employee Handbook and the Anti-Bribery Policy</w:t>
      </w:r>
      <w:r w:rsidR="00762D26" w:rsidRPr="003746CB">
        <w:rPr>
          <w:rFonts w:ascii="Arial" w:hAnsi="Arial" w:cs="Arial"/>
        </w:rPr>
        <w:t xml:space="preserve">, </w:t>
      </w:r>
      <w:r w:rsidR="00BF3E68" w:rsidRPr="003746CB">
        <w:rPr>
          <w:rFonts w:ascii="Arial" w:hAnsi="Arial" w:cs="Arial"/>
        </w:rPr>
        <w:t>including the procedures outlined for the Gift Register process for the Boards.</w:t>
      </w:r>
    </w:p>
    <w:p w14:paraId="34AFFE93" w14:textId="77777777" w:rsidR="00BF3E68" w:rsidRPr="003746CB" w:rsidRDefault="00BF3E68" w:rsidP="00BF3E68">
      <w:pPr>
        <w:pStyle w:val="Customisabledocumentheading"/>
        <w:jc w:val="both"/>
        <w:rPr>
          <w:rFonts w:cs="Arial"/>
          <w:caps/>
          <w:sz w:val="22"/>
        </w:rPr>
      </w:pPr>
    </w:p>
    <w:p w14:paraId="5EC62CC9" w14:textId="184CF18E" w:rsidR="00BF3E68" w:rsidRPr="003746CB" w:rsidRDefault="003746CB" w:rsidP="00BF3E68">
      <w:pPr>
        <w:pStyle w:val="Customisabledocumentheading"/>
        <w:jc w:val="both"/>
        <w:rPr>
          <w:rFonts w:cs="Arial"/>
          <w:caps/>
          <w:sz w:val="22"/>
        </w:rPr>
      </w:pPr>
      <w:r>
        <w:rPr>
          <w:rFonts w:cs="Arial"/>
          <w:caps/>
          <w:sz w:val="22"/>
        </w:rPr>
        <w:t xml:space="preserve">2. </w:t>
      </w:r>
      <w:r>
        <w:rPr>
          <w:rFonts w:cs="Arial"/>
          <w:caps/>
          <w:sz w:val="22"/>
        </w:rPr>
        <w:tab/>
      </w:r>
      <w:r w:rsidR="00BF3E68" w:rsidRPr="003746CB">
        <w:rPr>
          <w:rFonts w:cs="Arial"/>
          <w:caps/>
          <w:sz w:val="22"/>
        </w:rPr>
        <w:t>g</w:t>
      </w:r>
      <w:r w:rsidR="00BF3E68" w:rsidRPr="003746CB">
        <w:rPr>
          <w:rFonts w:cs="Arial"/>
          <w:sz w:val="22"/>
        </w:rPr>
        <w:t>ifts</w:t>
      </w:r>
    </w:p>
    <w:p w14:paraId="36FE9579" w14:textId="77777777" w:rsidR="003746CB" w:rsidRDefault="003746CB" w:rsidP="00BF3E68">
      <w:pPr>
        <w:spacing w:after="0" w:line="240" w:lineRule="auto"/>
        <w:jc w:val="both"/>
        <w:rPr>
          <w:rFonts w:ascii="Arial" w:hAnsi="Arial" w:cs="Arial"/>
        </w:rPr>
      </w:pPr>
    </w:p>
    <w:p w14:paraId="73B0FD9F" w14:textId="5FF624D2" w:rsidR="00BF3E68" w:rsidRPr="003746CB" w:rsidRDefault="003746CB" w:rsidP="003746CB">
      <w:pPr>
        <w:spacing w:after="0" w:line="240" w:lineRule="auto"/>
        <w:ind w:left="1134" w:hanging="567"/>
        <w:jc w:val="both"/>
        <w:rPr>
          <w:rFonts w:ascii="Arial" w:hAnsi="Arial" w:cs="Arial"/>
        </w:rPr>
      </w:pPr>
      <w:r>
        <w:rPr>
          <w:rFonts w:ascii="Arial" w:hAnsi="Arial" w:cs="Arial"/>
        </w:rPr>
        <w:t xml:space="preserve">2.1 </w:t>
      </w:r>
      <w:r>
        <w:rPr>
          <w:rFonts w:ascii="Arial" w:hAnsi="Arial" w:cs="Arial"/>
        </w:rPr>
        <w:tab/>
      </w:r>
      <w:r w:rsidR="00BF3E68" w:rsidRPr="003746CB">
        <w:rPr>
          <w:rFonts w:ascii="Arial" w:hAnsi="Arial" w:cs="Arial"/>
        </w:rPr>
        <w:t>The Boards re</w:t>
      </w:r>
      <w:r w:rsidR="00762D26" w:rsidRPr="003746CB">
        <w:rPr>
          <w:rFonts w:ascii="Arial" w:hAnsi="Arial" w:cs="Arial"/>
        </w:rPr>
        <w:t>cognise</w:t>
      </w:r>
      <w:r w:rsidR="00BF3E68" w:rsidRPr="003746CB">
        <w:rPr>
          <w:rFonts w:ascii="Arial" w:hAnsi="Arial" w:cs="Arial"/>
        </w:rPr>
        <w:t xml:space="preserve"> that the giving and receiving of gifts and hospitality where nothing is expected in return helps form positive relationships with third parties</w:t>
      </w:r>
      <w:r w:rsidR="00762D26" w:rsidRPr="003746CB">
        <w:rPr>
          <w:rFonts w:ascii="Arial" w:hAnsi="Arial" w:cs="Arial"/>
        </w:rPr>
        <w:t>,</w:t>
      </w:r>
      <w:r w:rsidR="00BF3E68" w:rsidRPr="003746CB">
        <w:rPr>
          <w:rFonts w:ascii="Arial" w:hAnsi="Arial" w:cs="Arial"/>
        </w:rPr>
        <w:t xml:space="preserve"> where it is proportionate and properly recorded. This does not constitute bribery and consequently such actions are not considered a breach of this policy. </w:t>
      </w:r>
    </w:p>
    <w:p w14:paraId="67FEBE76" w14:textId="77777777" w:rsidR="00BF3E68" w:rsidRPr="003746CB" w:rsidRDefault="00BF3E68" w:rsidP="003746CB">
      <w:pPr>
        <w:spacing w:after="0" w:line="240" w:lineRule="auto"/>
        <w:ind w:left="1134" w:hanging="567"/>
        <w:jc w:val="both"/>
        <w:rPr>
          <w:rFonts w:ascii="Arial" w:hAnsi="Arial" w:cs="Arial"/>
        </w:rPr>
      </w:pPr>
    </w:p>
    <w:p w14:paraId="32DD9EE4" w14:textId="3001EDC4" w:rsidR="00BF3E68" w:rsidRPr="003746CB" w:rsidRDefault="003746CB" w:rsidP="003746CB">
      <w:pPr>
        <w:spacing w:after="0" w:line="240" w:lineRule="auto"/>
        <w:ind w:left="1134" w:hanging="567"/>
        <w:jc w:val="both"/>
        <w:rPr>
          <w:rFonts w:ascii="Arial" w:hAnsi="Arial" w:cs="Arial"/>
        </w:rPr>
      </w:pPr>
      <w:r>
        <w:rPr>
          <w:rFonts w:ascii="Arial" w:hAnsi="Arial" w:cs="Arial"/>
        </w:rPr>
        <w:t xml:space="preserve">2.2 </w:t>
      </w:r>
      <w:r>
        <w:rPr>
          <w:rFonts w:ascii="Arial" w:hAnsi="Arial" w:cs="Arial"/>
        </w:rPr>
        <w:tab/>
      </w:r>
      <w:r w:rsidR="00BF3E68" w:rsidRPr="003746CB">
        <w:rPr>
          <w:rFonts w:ascii="Arial" w:hAnsi="Arial" w:cs="Arial"/>
        </w:rPr>
        <w:t xml:space="preserve">Gifts include: </w:t>
      </w:r>
    </w:p>
    <w:p w14:paraId="7B256B7D" w14:textId="77777777" w:rsidR="00BF3E68" w:rsidRPr="003746CB" w:rsidRDefault="00BF3E68" w:rsidP="00BF3E68">
      <w:pPr>
        <w:spacing w:after="0" w:line="240" w:lineRule="auto"/>
        <w:jc w:val="both"/>
        <w:rPr>
          <w:rFonts w:ascii="Arial" w:hAnsi="Arial" w:cs="Arial"/>
        </w:rPr>
      </w:pPr>
    </w:p>
    <w:p w14:paraId="6599925E" w14:textId="77777777" w:rsidR="00BF3E68" w:rsidRPr="003746CB" w:rsidRDefault="00BF3E68" w:rsidP="003746CB">
      <w:pPr>
        <w:pStyle w:val="ListParagraph"/>
        <w:numPr>
          <w:ilvl w:val="0"/>
          <w:numId w:val="1"/>
        </w:numPr>
        <w:spacing w:after="0" w:line="240" w:lineRule="auto"/>
        <w:ind w:left="1701" w:hanging="567"/>
        <w:jc w:val="both"/>
        <w:rPr>
          <w:rFonts w:ascii="Arial" w:hAnsi="Arial" w:cs="Arial"/>
        </w:rPr>
      </w:pPr>
      <w:r w:rsidRPr="003746CB">
        <w:rPr>
          <w:rFonts w:ascii="Arial" w:hAnsi="Arial" w:cs="Arial"/>
        </w:rPr>
        <w:t xml:space="preserve">money </w:t>
      </w:r>
    </w:p>
    <w:p w14:paraId="4F911902" w14:textId="77777777" w:rsidR="00BF3E68" w:rsidRPr="003746CB" w:rsidRDefault="00BF3E68" w:rsidP="003746CB">
      <w:pPr>
        <w:pStyle w:val="ListParagraph"/>
        <w:numPr>
          <w:ilvl w:val="0"/>
          <w:numId w:val="1"/>
        </w:numPr>
        <w:spacing w:after="0" w:line="240" w:lineRule="auto"/>
        <w:ind w:left="1701" w:hanging="567"/>
        <w:jc w:val="both"/>
        <w:rPr>
          <w:rFonts w:ascii="Arial" w:hAnsi="Arial" w:cs="Arial"/>
        </w:rPr>
      </w:pPr>
      <w:r w:rsidRPr="003746CB">
        <w:rPr>
          <w:rFonts w:ascii="Arial" w:hAnsi="Arial" w:cs="Arial"/>
        </w:rPr>
        <w:t xml:space="preserve">goods (flowers, vouchers, food, drink, event tickets when not used in a hosted business context) </w:t>
      </w:r>
    </w:p>
    <w:p w14:paraId="0C793B0B" w14:textId="77777777" w:rsidR="00BF3E68" w:rsidRPr="003746CB" w:rsidRDefault="00BF3E68" w:rsidP="003746CB">
      <w:pPr>
        <w:pStyle w:val="ListParagraph"/>
        <w:numPr>
          <w:ilvl w:val="0"/>
          <w:numId w:val="1"/>
        </w:numPr>
        <w:spacing w:after="0" w:line="240" w:lineRule="auto"/>
        <w:ind w:left="1701" w:hanging="567"/>
        <w:jc w:val="both"/>
        <w:rPr>
          <w:rFonts w:ascii="Arial" w:hAnsi="Arial" w:cs="Arial"/>
        </w:rPr>
      </w:pPr>
      <w:r w:rsidRPr="003746CB">
        <w:rPr>
          <w:rFonts w:ascii="Arial" w:hAnsi="Arial" w:cs="Arial"/>
        </w:rPr>
        <w:t>services or loans given or received as a mark of friendship or appreciation.</w:t>
      </w:r>
    </w:p>
    <w:p w14:paraId="21DADC41" w14:textId="77777777" w:rsidR="00BF3E68" w:rsidRPr="003746CB" w:rsidRDefault="00BF3E68" w:rsidP="003746CB">
      <w:pPr>
        <w:spacing w:after="0" w:line="240" w:lineRule="auto"/>
        <w:ind w:left="1701" w:hanging="567"/>
        <w:jc w:val="both"/>
        <w:rPr>
          <w:rFonts w:ascii="Arial" w:hAnsi="Arial" w:cs="Arial"/>
        </w:rPr>
      </w:pPr>
    </w:p>
    <w:p w14:paraId="3A7F637F" w14:textId="7B840B56" w:rsidR="00BF3E68" w:rsidRPr="003746CB" w:rsidRDefault="003746CB" w:rsidP="003746CB">
      <w:pPr>
        <w:spacing w:after="0" w:line="240" w:lineRule="auto"/>
        <w:ind w:left="1134" w:hanging="567"/>
        <w:jc w:val="both"/>
        <w:rPr>
          <w:rFonts w:ascii="Arial" w:hAnsi="Arial" w:cs="Arial"/>
        </w:rPr>
      </w:pPr>
      <w:r>
        <w:rPr>
          <w:rFonts w:ascii="Arial" w:hAnsi="Arial" w:cs="Arial"/>
        </w:rPr>
        <w:t xml:space="preserve">2.3 </w:t>
      </w:r>
      <w:r>
        <w:rPr>
          <w:rFonts w:ascii="Arial" w:hAnsi="Arial" w:cs="Arial"/>
        </w:rPr>
        <w:tab/>
      </w:r>
      <w:r w:rsidR="00BF3E68" w:rsidRPr="003746CB">
        <w:rPr>
          <w:rFonts w:ascii="Arial" w:hAnsi="Arial" w:cs="Arial"/>
        </w:rPr>
        <w:t>Hospitality includes:</w:t>
      </w:r>
    </w:p>
    <w:p w14:paraId="4418C1E6" w14:textId="77777777" w:rsidR="00BF3E68" w:rsidRPr="003746CB" w:rsidRDefault="00BF3E68" w:rsidP="00BF3E68">
      <w:pPr>
        <w:spacing w:after="0" w:line="240" w:lineRule="auto"/>
        <w:jc w:val="both"/>
        <w:rPr>
          <w:rFonts w:ascii="Arial" w:hAnsi="Arial" w:cs="Arial"/>
        </w:rPr>
      </w:pPr>
    </w:p>
    <w:p w14:paraId="04D36854" w14:textId="77777777" w:rsidR="00BF3E68" w:rsidRPr="003746CB" w:rsidRDefault="00BF3E68" w:rsidP="003746CB">
      <w:pPr>
        <w:pStyle w:val="ListParagraph"/>
        <w:numPr>
          <w:ilvl w:val="0"/>
          <w:numId w:val="2"/>
        </w:numPr>
        <w:spacing w:after="0" w:line="240" w:lineRule="auto"/>
        <w:ind w:left="1701" w:hanging="567"/>
        <w:jc w:val="both"/>
        <w:rPr>
          <w:rFonts w:ascii="Arial" w:hAnsi="Arial" w:cs="Arial"/>
        </w:rPr>
      </w:pPr>
      <w:r w:rsidRPr="003746CB">
        <w:rPr>
          <w:rFonts w:ascii="Arial" w:hAnsi="Arial" w:cs="Arial"/>
        </w:rPr>
        <w:t xml:space="preserve">entertaining </w:t>
      </w:r>
    </w:p>
    <w:p w14:paraId="3D5614D7" w14:textId="77777777" w:rsidR="00BF3E68" w:rsidRPr="003746CB" w:rsidRDefault="00BF3E68" w:rsidP="003746CB">
      <w:pPr>
        <w:pStyle w:val="ListParagraph"/>
        <w:numPr>
          <w:ilvl w:val="0"/>
          <w:numId w:val="2"/>
        </w:numPr>
        <w:spacing w:after="0" w:line="240" w:lineRule="auto"/>
        <w:ind w:left="1701" w:hanging="567"/>
        <w:jc w:val="both"/>
        <w:rPr>
          <w:rFonts w:ascii="Arial" w:hAnsi="Arial" w:cs="Arial"/>
        </w:rPr>
      </w:pPr>
      <w:r w:rsidRPr="003746CB">
        <w:rPr>
          <w:rFonts w:ascii="Arial" w:hAnsi="Arial" w:cs="Arial"/>
        </w:rPr>
        <w:t xml:space="preserve">meals or </w:t>
      </w:r>
    </w:p>
    <w:p w14:paraId="2A6A4A08" w14:textId="77777777" w:rsidR="00BF3E68" w:rsidRPr="003746CB" w:rsidRDefault="00BF3E68" w:rsidP="003746CB">
      <w:pPr>
        <w:pStyle w:val="ListParagraph"/>
        <w:numPr>
          <w:ilvl w:val="0"/>
          <w:numId w:val="2"/>
        </w:numPr>
        <w:spacing w:after="0" w:line="240" w:lineRule="auto"/>
        <w:ind w:left="1701" w:hanging="567"/>
        <w:jc w:val="both"/>
        <w:rPr>
          <w:rFonts w:ascii="Arial" w:hAnsi="Arial" w:cs="Arial"/>
        </w:rPr>
      </w:pPr>
      <w:r w:rsidRPr="003746CB">
        <w:rPr>
          <w:rFonts w:ascii="Arial" w:hAnsi="Arial" w:cs="Arial"/>
        </w:rPr>
        <w:t xml:space="preserve">event tickets (when used in a hosted business context) given or received to initiate or develop relations. </w:t>
      </w:r>
    </w:p>
    <w:p w14:paraId="4AA6EB26" w14:textId="77777777" w:rsidR="00BF3E68" w:rsidRPr="003746CB" w:rsidRDefault="00BF3E68" w:rsidP="00BF3E68">
      <w:pPr>
        <w:spacing w:after="0" w:line="240" w:lineRule="auto"/>
        <w:jc w:val="both"/>
        <w:rPr>
          <w:rFonts w:ascii="Arial" w:hAnsi="Arial" w:cs="Arial"/>
        </w:rPr>
      </w:pPr>
    </w:p>
    <w:p w14:paraId="0097ED45" w14:textId="1C32162C" w:rsidR="00BF3E68" w:rsidRPr="003746CB" w:rsidRDefault="003746CB" w:rsidP="003746CB">
      <w:pPr>
        <w:spacing w:after="0" w:line="240" w:lineRule="auto"/>
        <w:ind w:left="1134" w:hanging="567"/>
        <w:jc w:val="both"/>
        <w:rPr>
          <w:rFonts w:ascii="Arial" w:hAnsi="Arial" w:cs="Arial"/>
        </w:rPr>
      </w:pPr>
      <w:r>
        <w:rPr>
          <w:rFonts w:ascii="Arial" w:hAnsi="Arial" w:cs="Arial"/>
        </w:rPr>
        <w:t xml:space="preserve">2.4 </w:t>
      </w:r>
      <w:r>
        <w:rPr>
          <w:rFonts w:ascii="Arial" w:hAnsi="Arial" w:cs="Arial"/>
        </w:rPr>
        <w:tab/>
      </w:r>
      <w:r w:rsidR="00BF3E68" w:rsidRPr="003746CB">
        <w:rPr>
          <w:rFonts w:ascii="Arial" w:hAnsi="Arial" w:cs="Arial"/>
        </w:rPr>
        <w:t>Hospitality will become a gift if the host is not present.</w:t>
      </w:r>
    </w:p>
    <w:p w14:paraId="5F762916" w14:textId="77777777" w:rsidR="00BF3E68" w:rsidRPr="003746CB" w:rsidRDefault="00BF3E68" w:rsidP="003746CB">
      <w:pPr>
        <w:spacing w:after="0" w:line="240" w:lineRule="auto"/>
        <w:ind w:left="1134" w:hanging="567"/>
        <w:jc w:val="both"/>
        <w:rPr>
          <w:rFonts w:ascii="Arial" w:hAnsi="Arial" w:cs="Arial"/>
        </w:rPr>
      </w:pPr>
    </w:p>
    <w:p w14:paraId="53131399" w14:textId="5EDA0ED3" w:rsidR="00BF3E68" w:rsidRPr="003746CB" w:rsidRDefault="003746CB" w:rsidP="003746CB">
      <w:pPr>
        <w:spacing w:after="0" w:line="240" w:lineRule="auto"/>
        <w:ind w:left="1134" w:hanging="567"/>
        <w:jc w:val="both"/>
        <w:rPr>
          <w:rFonts w:ascii="Arial" w:hAnsi="Arial" w:cs="Arial"/>
        </w:rPr>
      </w:pPr>
      <w:r>
        <w:rPr>
          <w:rFonts w:ascii="Arial" w:hAnsi="Arial" w:cs="Arial"/>
        </w:rPr>
        <w:t xml:space="preserve">2.5 </w:t>
      </w:r>
      <w:r>
        <w:rPr>
          <w:rFonts w:ascii="Arial" w:hAnsi="Arial" w:cs="Arial"/>
        </w:rPr>
        <w:tab/>
      </w:r>
      <w:r w:rsidR="00BF3E68" w:rsidRPr="003746CB">
        <w:rPr>
          <w:rFonts w:ascii="Arial" w:hAnsi="Arial" w:cs="Arial"/>
        </w:rPr>
        <w:t xml:space="preserve">No gift should be given nor hospitality offered by an employee </w:t>
      </w:r>
      <w:r w:rsidR="00762D26" w:rsidRPr="003746CB">
        <w:rPr>
          <w:rFonts w:ascii="Arial" w:hAnsi="Arial" w:cs="Arial"/>
        </w:rPr>
        <w:t>(</w:t>
      </w:r>
      <w:r w:rsidR="00BF3E68" w:rsidRPr="003746CB">
        <w:rPr>
          <w:rFonts w:ascii="Arial" w:hAnsi="Arial" w:cs="Arial"/>
        </w:rPr>
        <w:t xml:space="preserve">or anyone working on </w:t>
      </w:r>
      <w:r w:rsidR="00762D26" w:rsidRPr="003746CB">
        <w:rPr>
          <w:rFonts w:ascii="Arial" w:hAnsi="Arial" w:cs="Arial"/>
        </w:rPr>
        <w:t>the 4 Boards’</w:t>
      </w:r>
      <w:r w:rsidR="00BF3E68" w:rsidRPr="003746CB">
        <w:rPr>
          <w:rFonts w:ascii="Arial" w:hAnsi="Arial" w:cs="Arial"/>
        </w:rPr>
        <w:t xml:space="preserve"> behalf</w:t>
      </w:r>
      <w:r w:rsidR="00762D26" w:rsidRPr="003746CB">
        <w:rPr>
          <w:rFonts w:ascii="Arial" w:hAnsi="Arial" w:cs="Arial"/>
        </w:rPr>
        <w:t>)</w:t>
      </w:r>
      <w:r w:rsidR="00BF3E68" w:rsidRPr="003746CB">
        <w:rPr>
          <w:rFonts w:ascii="Arial" w:hAnsi="Arial" w:cs="Arial"/>
        </w:rPr>
        <w:t xml:space="preserve"> to any party in connection with </w:t>
      </w:r>
      <w:r w:rsidR="00762D26" w:rsidRPr="003746CB">
        <w:rPr>
          <w:rFonts w:ascii="Arial" w:hAnsi="Arial" w:cs="Arial"/>
        </w:rPr>
        <w:t xml:space="preserve">the Boards’ </w:t>
      </w:r>
      <w:r w:rsidR="00BF3E68" w:rsidRPr="003746CB">
        <w:rPr>
          <w:rFonts w:ascii="Arial" w:hAnsi="Arial" w:cs="Arial"/>
        </w:rPr>
        <w:t xml:space="preserve">business without receiving prior written approval from </w:t>
      </w:r>
      <w:r w:rsidR="00762D26" w:rsidRPr="003746CB">
        <w:rPr>
          <w:rFonts w:ascii="Arial" w:hAnsi="Arial" w:cs="Arial"/>
        </w:rPr>
        <w:t xml:space="preserve">one of either the Chief Executive, Director of Operations and Engineering and the Director of Finance and Governance. </w:t>
      </w:r>
      <w:r w:rsidR="00BF3E68" w:rsidRPr="003746CB">
        <w:rPr>
          <w:rFonts w:ascii="Arial" w:hAnsi="Arial" w:cs="Arial"/>
        </w:rPr>
        <w:t xml:space="preserve">Similarly, no gift nor offer of hospitality should be accepted by an employee or anyone working on </w:t>
      </w:r>
      <w:r w:rsidR="00762D26" w:rsidRPr="003746CB">
        <w:rPr>
          <w:rFonts w:ascii="Arial" w:hAnsi="Arial" w:cs="Arial"/>
        </w:rPr>
        <w:t xml:space="preserve">the 4 Boards’ </w:t>
      </w:r>
      <w:r w:rsidR="00BF3E68" w:rsidRPr="003746CB">
        <w:rPr>
          <w:rFonts w:ascii="Arial" w:hAnsi="Arial" w:cs="Arial"/>
        </w:rPr>
        <w:t xml:space="preserve"> behalf without </w:t>
      </w:r>
      <w:r w:rsidR="00762D26" w:rsidRPr="003746CB">
        <w:rPr>
          <w:rFonts w:ascii="Arial" w:hAnsi="Arial" w:cs="Arial"/>
        </w:rPr>
        <w:t>the</w:t>
      </w:r>
      <w:r w:rsidR="00BF3E68" w:rsidRPr="003746CB">
        <w:rPr>
          <w:rFonts w:ascii="Arial" w:hAnsi="Arial" w:cs="Arial"/>
        </w:rPr>
        <w:t xml:space="preserve"> prior written approval from </w:t>
      </w:r>
      <w:r w:rsidR="00762D26" w:rsidRPr="003746CB">
        <w:rPr>
          <w:rFonts w:ascii="Arial" w:hAnsi="Arial" w:cs="Arial"/>
        </w:rPr>
        <w:t xml:space="preserve">either </w:t>
      </w:r>
      <w:r w:rsidR="00A004C3">
        <w:rPr>
          <w:rFonts w:ascii="Arial" w:hAnsi="Arial" w:cs="Arial"/>
        </w:rPr>
        <w:t>t</w:t>
      </w:r>
      <w:bookmarkStart w:id="1" w:name="_GoBack"/>
      <w:bookmarkEnd w:id="1"/>
      <w:r w:rsidR="00762D26" w:rsidRPr="003746CB">
        <w:rPr>
          <w:rFonts w:ascii="Arial" w:hAnsi="Arial" w:cs="Arial"/>
        </w:rPr>
        <w:t>he Chief Executive, Director of Operations and Engineering and the Director of Finance and Governance.</w:t>
      </w:r>
    </w:p>
    <w:p w14:paraId="1DE3BB63" w14:textId="77777777" w:rsidR="00BF3E68" w:rsidRPr="003746CB" w:rsidRDefault="00BF3E68" w:rsidP="003746CB">
      <w:pPr>
        <w:spacing w:after="0" w:line="240" w:lineRule="auto"/>
        <w:ind w:left="1134" w:hanging="567"/>
        <w:jc w:val="both"/>
        <w:rPr>
          <w:rFonts w:ascii="Arial" w:hAnsi="Arial" w:cs="Arial"/>
        </w:rPr>
      </w:pPr>
    </w:p>
    <w:p w14:paraId="44988088" w14:textId="3B84102B" w:rsidR="00BF3E68" w:rsidRPr="003746CB" w:rsidRDefault="003746CB" w:rsidP="003746CB">
      <w:pPr>
        <w:spacing w:after="0" w:line="240" w:lineRule="auto"/>
        <w:ind w:left="1134" w:hanging="567"/>
        <w:jc w:val="both"/>
        <w:rPr>
          <w:rFonts w:ascii="Arial" w:hAnsi="Arial" w:cs="Arial"/>
        </w:rPr>
      </w:pPr>
      <w:r>
        <w:rPr>
          <w:rFonts w:ascii="Arial" w:hAnsi="Arial" w:cs="Arial"/>
        </w:rPr>
        <w:t xml:space="preserve">2.6 </w:t>
      </w:r>
      <w:r>
        <w:rPr>
          <w:rFonts w:ascii="Arial" w:hAnsi="Arial" w:cs="Arial"/>
        </w:rPr>
        <w:tab/>
      </w:r>
      <w:r w:rsidR="00BF3E68" w:rsidRPr="003746CB">
        <w:rPr>
          <w:rFonts w:ascii="Arial" w:hAnsi="Arial" w:cs="Arial"/>
        </w:rPr>
        <w:t>A record will be made of every instance in which gifts or hospitality are given or received.</w:t>
      </w:r>
      <w:r w:rsidR="00762D26" w:rsidRPr="003746CB">
        <w:rPr>
          <w:rFonts w:ascii="Arial" w:hAnsi="Arial" w:cs="Arial"/>
        </w:rPr>
        <w:t xml:space="preserve"> The record will be obtained by the Executive Assistant in the Gifts and Hospitality Register. </w:t>
      </w:r>
    </w:p>
    <w:p w14:paraId="2987CAC2" w14:textId="77777777" w:rsidR="00BF3E68" w:rsidRPr="003746CB" w:rsidRDefault="00BF3E68" w:rsidP="00BF3E68">
      <w:pPr>
        <w:spacing w:after="0" w:line="240" w:lineRule="auto"/>
        <w:jc w:val="both"/>
        <w:rPr>
          <w:rFonts w:ascii="Arial" w:hAnsi="Arial" w:cs="Arial"/>
        </w:rPr>
      </w:pPr>
    </w:p>
    <w:sectPr w:rsidR="00BF3E68" w:rsidRPr="003746CB" w:rsidSect="008B6641">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1E5A8" w14:textId="77777777" w:rsidR="00595191" w:rsidRDefault="00595191" w:rsidP="008B6641">
      <w:pPr>
        <w:spacing w:after="0" w:line="240" w:lineRule="auto"/>
      </w:pPr>
      <w:r>
        <w:separator/>
      </w:r>
    </w:p>
  </w:endnote>
  <w:endnote w:type="continuationSeparator" w:id="0">
    <w:p w14:paraId="23FD36B5" w14:textId="77777777" w:rsidR="00595191" w:rsidRDefault="00595191"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2519289"/>
      <w:docPartObj>
        <w:docPartGallery w:val="Page Numbers (Bottom of Page)"/>
        <w:docPartUnique/>
      </w:docPartObj>
    </w:sdtPr>
    <w:sdtContent>
      <w:p w14:paraId="5AD7EC3C" w14:textId="01EAB892" w:rsidR="008C72B4" w:rsidRDefault="008C72B4" w:rsidP="00610D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6D37B4" w14:textId="77777777" w:rsidR="003746CB" w:rsidRDefault="00374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85481931"/>
      <w:docPartObj>
        <w:docPartGallery w:val="Page Numbers (Bottom of Page)"/>
        <w:docPartUnique/>
      </w:docPartObj>
    </w:sdtPr>
    <w:sdtContent>
      <w:p w14:paraId="59F31871" w14:textId="2FA86E51" w:rsidR="008C72B4" w:rsidRDefault="008C72B4" w:rsidP="00610D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53A7F1B" w14:textId="77777777" w:rsidR="003746CB" w:rsidRDefault="00374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E359F" w14:textId="77777777" w:rsidR="003746CB" w:rsidRDefault="00374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FD766" w14:textId="77777777" w:rsidR="00595191" w:rsidRDefault="00595191" w:rsidP="008B6641">
      <w:pPr>
        <w:spacing w:after="0" w:line="240" w:lineRule="auto"/>
      </w:pPr>
      <w:r>
        <w:separator/>
      </w:r>
    </w:p>
  </w:footnote>
  <w:footnote w:type="continuationSeparator" w:id="0">
    <w:p w14:paraId="0BB7E5E6" w14:textId="77777777" w:rsidR="00595191" w:rsidRDefault="00595191"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D4CB" w14:textId="77777777" w:rsidR="003746CB" w:rsidRDefault="00374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6A0B795F" w:rsidR="00643AD9" w:rsidRPr="006F023F" w:rsidRDefault="00595191" w:rsidP="00F95C99">
    <w:pPr>
      <w:pStyle w:val="Header"/>
      <w:jc w:val="center"/>
      <w:rPr>
        <w:sz w:val="20"/>
        <w:szCs w:val="20"/>
      </w:rPr>
    </w:pPr>
    <w:sdt>
      <w:sdtPr>
        <w:rPr>
          <w:sz w:val="20"/>
          <w:szCs w:val="20"/>
        </w:rPr>
        <w:id w:val="-1435041082"/>
        <w:docPartObj>
          <w:docPartGallery w:val="Watermarks"/>
          <w:docPartUnique/>
        </w:docPartObj>
      </w:sdtPr>
      <w:sdtEndPr/>
      <w:sdtContent>
        <w:r>
          <w:rPr>
            <w:noProof/>
            <w:sz w:val="20"/>
            <w:szCs w:val="20"/>
          </w:rPr>
          <w:pict w14:anchorId="53EC1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883366">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643AD9" w:rsidRPr="00656C85" w:rsidRDefault="00643AD9" w:rsidP="00F95C99">
    <w:pPr>
      <w:pStyle w:val="Header"/>
      <w:jc w:val="center"/>
      <w:rPr>
        <w:i/>
        <w:color w:val="A6A6A6" w:themeColor="background1" w:themeShade="A6"/>
        <w:sz w:val="16"/>
        <w:szCs w:val="16"/>
      </w:rPr>
    </w:pPr>
  </w:p>
  <w:p w14:paraId="33287551" w14:textId="77777777" w:rsidR="00643AD9" w:rsidRDefault="00643AD9" w:rsidP="00F95C99">
    <w:pPr>
      <w:pStyle w:val="Header"/>
      <w:jc w:val="center"/>
    </w:pPr>
    <w:r w:rsidRPr="00656C85">
      <w:rPr>
        <w:i/>
        <w:color w:val="A6A6A6" w:themeColor="background1" w:themeShade="A6"/>
        <w:sz w:val="16"/>
        <w:szCs w:val="16"/>
      </w:rPr>
      <w:t>Witham House, J1 The Point, Weaver Road, Lincoln LN6 3QN Tel: 01522 697123</w:t>
    </w:r>
  </w:p>
  <w:p w14:paraId="3229848F" w14:textId="77777777" w:rsidR="00643AD9" w:rsidRDefault="00643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65AC1" w14:textId="77777777" w:rsidR="003746CB" w:rsidRDefault="00374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20633"/>
    <w:multiLevelType w:val="hybridMultilevel"/>
    <w:tmpl w:val="0D98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A911DC"/>
    <w:multiLevelType w:val="hybridMultilevel"/>
    <w:tmpl w:val="7C60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114C64"/>
    <w:rsid w:val="001807C0"/>
    <w:rsid w:val="001B55C1"/>
    <w:rsid w:val="00224D22"/>
    <w:rsid w:val="0025176B"/>
    <w:rsid w:val="003746CB"/>
    <w:rsid w:val="0039152E"/>
    <w:rsid w:val="003D7ADA"/>
    <w:rsid w:val="00477D2B"/>
    <w:rsid w:val="005754BE"/>
    <w:rsid w:val="00595191"/>
    <w:rsid w:val="005D0E72"/>
    <w:rsid w:val="00643AD9"/>
    <w:rsid w:val="00644FCF"/>
    <w:rsid w:val="00693FA7"/>
    <w:rsid w:val="006C2979"/>
    <w:rsid w:val="00745DF9"/>
    <w:rsid w:val="007613C2"/>
    <w:rsid w:val="00762D26"/>
    <w:rsid w:val="00786160"/>
    <w:rsid w:val="007B7D13"/>
    <w:rsid w:val="007D71A3"/>
    <w:rsid w:val="00864001"/>
    <w:rsid w:val="00883366"/>
    <w:rsid w:val="008B6641"/>
    <w:rsid w:val="008C72B4"/>
    <w:rsid w:val="0093578C"/>
    <w:rsid w:val="009E1EBC"/>
    <w:rsid w:val="00A004C3"/>
    <w:rsid w:val="00A259F7"/>
    <w:rsid w:val="00AA7706"/>
    <w:rsid w:val="00AD4604"/>
    <w:rsid w:val="00B110D4"/>
    <w:rsid w:val="00B43192"/>
    <w:rsid w:val="00B74DB7"/>
    <w:rsid w:val="00BD0C3B"/>
    <w:rsid w:val="00BF3E68"/>
    <w:rsid w:val="00CC04F2"/>
    <w:rsid w:val="00CF7614"/>
    <w:rsid w:val="00D70463"/>
    <w:rsid w:val="00DB0E45"/>
    <w:rsid w:val="00E0162A"/>
    <w:rsid w:val="00EA343C"/>
    <w:rsid w:val="00F14C78"/>
    <w:rsid w:val="00F250A9"/>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uiPriority w:val="99"/>
    <w:qFormat/>
    <w:rsid w:val="00E0162A"/>
    <w:pPr>
      <w:spacing w:after="0" w:line="240" w:lineRule="auto"/>
    </w:pPr>
    <w:rPr>
      <w:rFonts w:ascii="Arial" w:eastAsia="Calibri" w:hAnsi="Arial" w:cs="Times New Roman"/>
      <w:b/>
      <w:sz w:val="24"/>
    </w:rPr>
  </w:style>
  <w:style w:type="paragraph" w:styleId="ListParagraph">
    <w:name w:val="List Paragraph"/>
    <w:basedOn w:val="Normal"/>
    <w:uiPriority w:val="34"/>
    <w:qFormat/>
    <w:rsid w:val="00BF3E68"/>
    <w:pPr>
      <w:spacing w:after="200" w:line="276" w:lineRule="auto"/>
      <w:ind w:left="720"/>
      <w:contextualSpacing/>
    </w:pPr>
    <w:rPr>
      <w:rFonts w:ascii="Calibri" w:eastAsia="Calibri" w:hAnsi="Calibri" w:cs="Calibri"/>
    </w:rPr>
  </w:style>
  <w:style w:type="character" w:styleId="PageNumber">
    <w:name w:val="page number"/>
    <w:basedOn w:val="DefaultParagraphFont"/>
    <w:uiPriority w:val="99"/>
    <w:semiHidden/>
    <w:unhideWhenUsed/>
    <w:rsid w:val="008C7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5</cp:revision>
  <cp:lastPrinted>2017-05-10T12:53:00Z</cp:lastPrinted>
  <dcterms:created xsi:type="dcterms:W3CDTF">2020-07-06T20:51:00Z</dcterms:created>
  <dcterms:modified xsi:type="dcterms:W3CDTF">2020-07-06T21:56:00Z</dcterms:modified>
</cp:coreProperties>
</file>